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1103" w:rsidRPr="00F315B1" w:rsidRDefault="002C1103" w:rsidP="00F315B1">
      <w:pPr>
        <w:widowControl w:val="0"/>
        <w:pBdr>
          <w:top w:val="nil"/>
          <w:left w:val="nil"/>
          <w:bottom w:val="nil"/>
          <w:right w:val="nil"/>
          <w:between w:val="nil"/>
        </w:pBdr>
        <w:spacing w:line="276" w:lineRule="auto"/>
        <w:rPr>
          <w:rFonts w:ascii="Century Gothic" w:hAnsi="Century Gothic"/>
        </w:rPr>
      </w:pPr>
    </w:p>
    <w:p w14:paraId="00000002" w14:textId="77777777" w:rsidR="002C1103" w:rsidRPr="00F315B1" w:rsidRDefault="005D37CF" w:rsidP="00F315B1">
      <w:pPr>
        <w:spacing w:before="120" w:after="120" w:line="276" w:lineRule="auto"/>
        <w:jc w:val="center"/>
        <w:rPr>
          <w:rFonts w:ascii="Century Gothic" w:eastAsia="Arial" w:hAnsi="Century Gothic" w:cs="Arial"/>
          <w:b/>
          <w:sz w:val="28"/>
          <w:szCs w:val="28"/>
        </w:rPr>
      </w:pPr>
      <w:r w:rsidRPr="00F315B1">
        <w:rPr>
          <w:rFonts w:ascii="Century Gothic" w:eastAsia="Arial" w:hAnsi="Century Gothic" w:cs="Arial"/>
          <w:b/>
          <w:sz w:val="28"/>
          <w:szCs w:val="28"/>
        </w:rPr>
        <w:tab/>
        <w:t>Health and safety policy</w:t>
      </w:r>
    </w:p>
    <w:p w14:paraId="00000003" w14:textId="75BDC80B" w:rsidR="002C1103" w:rsidRPr="00F315B1" w:rsidRDefault="005D37CF" w:rsidP="00F315B1">
      <w:pPr>
        <w:pStyle w:val="Heading1"/>
        <w:spacing w:before="120" w:after="120" w:line="276" w:lineRule="auto"/>
        <w:rPr>
          <w:rFonts w:ascii="Century Gothic" w:hAnsi="Century Gothic"/>
          <w:b w:val="0"/>
          <w:sz w:val="22"/>
          <w:szCs w:val="22"/>
        </w:rPr>
      </w:pPr>
      <w:r w:rsidRPr="00F315B1">
        <w:rPr>
          <w:rFonts w:ascii="Century Gothic" w:hAnsi="Century Gothic"/>
          <w:b w:val="0"/>
          <w:sz w:val="22"/>
          <w:szCs w:val="22"/>
        </w:rPr>
        <w:t xml:space="preserve">Alongside associated procedures in Health and safety, this policy was adopted by </w:t>
      </w:r>
      <w:r w:rsidRPr="00F315B1">
        <w:rPr>
          <w:rFonts w:ascii="Century Gothic" w:hAnsi="Century Gothic"/>
          <w:b w:val="0"/>
          <w:i/>
          <w:sz w:val="22"/>
          <w:szCs w:val="22"/>
        </w:rPr>
        <w:t xml:space="preserve">Matlock Pre-School Playgroup </w:t>
      </w:r>
      <w:r w:rsidRPr="00F315B1">
        <w:rPr>
          <w:rFonts w:ascii="Century Gothic" w:hAnsi="Century Gothic"/>
          <w:b w:val="0"/>
          <w:sz w:val="22"/>
          <w:szCs w:val="22"/>
        </w:rPr>
        <w:t>on</w:t>
      </w:r>
      <w:r w:rsidR="00F315B1">
        <w:rPr>
          <w:rFonts w:ascii="Century Gothic" w:hAnsi="Century Gothic"/>
          <w:b w:val="0"/>
          <w:sz w:val="22"/>
          <w:szCs w:val="22"/>
        </w:rPr>
        <w:t xml:space="preserve"> </w:t>
      </w:r>
      <w:r w:rsidRPr="00F315B1">
        <w:rPr>
          <w:rFonts w:ascii="Century Gothic" w:hAnsi="Century Gothic"/>
          <w:b w:val="0"/>
          <w:i/>
          <w:sz w:val="22"/>
          <w:szCs w:val="22"/>
        </w:rPr>
        <w:t>December 11th 2022</w:t>
      </w:r>
    </w:p>
    <w:p w14:paraId="00000004" w14:textId="77777777" w:rsidR="002C1103" w:rsidRPr="00F315B1" w:rsidRDefault="005D37CF" w:rsidP="00F315B1">
      <w:pPr>
        <w:pStyle w:val="Heading1"/>
        <w:spacing w:before="120" w:after="120" w:line="276" w:lineRule="auto"/>
        <w:rPr>
          <w:rFonts w:ascii="Century Gothic" w:hAnsi="Century Gothic"/>
          <w:b w:val="0"/>
          <w:sz w:val="22"/>
          <w:szCs w:val="22"/>
        </w:rPr>
      </w:pPr>
      <w:r w:rsidRPr="00F315B1">
        <w:rPr>
          <w:rFonts w:ascii="Century Gothic" w:hAnsi="Century Gothic"/>
          <w:sz w:val="22"/>
          <w:szCs w:val="22"/>
        </w:rPr>
        <w:t>Designated Health and Safety Officer is: Tracey Morton</w:t>
      </w:r>
    </w:p>
    <w:p w14:paraId="00000005" w14:textId="77777777" w:rsidR="002C1103" w:rsidRPr="00F315B1" w:rsidRDefault="005D37CF" w:rsidP="00F315B1">
      <w:pPr>
        <w:pStyle w:val="Heading1"/>
        <w:spacing w:before="120" w:after="120" w:line="276" w:lineRule="auto"/>
        <w:rPr>
          <w:rFonts w:ascii="Century Gothic" w:hAnsi="Century Gothic"/>
          <w:sz w:val="22"/>
          <w:szCs w:val="22"/>
        </w:rPr>
      </w:pPr>
      <w:r w:rsidRPr="00F315B1">
        <w:rPr>
          <w:rFonts w:ascii="Century Gothic" w:hAnsi="Century Gothic"/>
          <w:sz w:val="22"/>
          <w:szCs w:val="22"/>
        </w:rPr>
        <w:t>Aim</w:t>
      </w:r>
    </w:p>
    <w:p w14:paraId="00000006"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Our aim is to provide a suitable, clean and safe place for children to be cared for, where they can grow and learn. We meet all statutory requirements for health and safety and fulfil the criteria for meeting the Early Years Foundation Stage Safeguarding and Welfare Requirements.</w:t>
      </w:r>
    </w:p>
    <w:p w14:paraId="00000007" w14:textId="77777777" w:rsidR="002C1103" w:rsidRPr="00F315B1" w:rsidRDefault="005D37CF" w:rsidP="00F315B1">
      <w:pPr>
        <w:spacing w:before="120" w:after="120" w:line="276" w:lineRule="auto"/>
        <w:rPr>
          <w:rFonts w:ascii="Century Gothic" w:eastAsia="Arial" w:hAnsi="Century Gothic" w:cs="Arial"/>
          <w:b/>
          <w:sz w:val="22"/>
          <w:szCs w:val="22"/>
        </w:rPr>
      </w:pPr>
      <w:r w:rsidRPr="00F315B1">
        <w:rPr>
          <w:rFonts w:ascii="Century Gothic" w:eastAsia="Arial" w:hAnsi="Century Gothic" w:cs="Arial"/>
          <w:b/>
          <w:sz w:val="22"/>
          <w:szCs w:val="22"/>
        </w:rPr>
        <w:t xml:space="preserve">Objectives </w:t>
      </w:r>
    </w:p>
    <w:p w14:paraId="00000008"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00000009"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Insurance is in place (including public liability) and an up-to-date certificate is always displayed.</w:t>
      </w:r>
    </w:p>
    <w:p w14:paraId="0000000A"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0000000B"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Smoking or vaping is not allowed on the premises, both indoors or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0000000C"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 xml:space="preserve">Staff must not be under the influence of alcohol or any other substance which may affect their ability to care for children. </w:t>
      </w:r>
    </w:p>
    <w:p w14:paraId="0000000D"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If staff are taking medication that they believe may impair them, they must seek further medical advice and only work directly with children if that advice is that the medication is unlikely to impair their ability to look after children. The setting manager must be informed.</w:t>
      </w:r>
    </w:p>
    <w:p w14:paraId="0000000E" w14:textId="77777777" w:rsidR="002C1103" w:rsidRPr="00F315B1" w:rsidRDefault="005D37CF" w:rsidP="00F315B1">
      <w:pPr>
        <w:numPr>
          <w:ilvl w:val="0"/>
          <w:numId w:val="1"/>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 xml:space="preserve">Alcohol must not be brought onto the premises for consumption. </w:t>
      </w:r>
    </w:p>
    <w:p w14:paraId="0000000F" w14:textId="77777777" w:rsidR="002C1103" w:rsidRPr="00F315B1" w:rsidRDefault="005D37CF" w:rsidP="00F315B1">
      <w:pPr>
        <w:numPr>
          <w:ilvl w:val="0"/>
          <w:numId w:val="2"/>
        </w:num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A risk assessment (01.1a Generic risk assessment) and access audit (01.1b Access audit form) are carried out for each area and the procedure is modified according to needs identified for the specific environment.</w:t>
      </w:r>
    </w:p>
    <w:p w14:paraId="00000010" w14:textId="77777777" w:rsidR="002C1103" w:rsidRPr="00F315B1" w:rsidRDefault="005D37CF" w:rsidP="00F315B1">
      <w:pPr>
        <w:numPr>
          <w:ilvl w:val="0"/>
          <w:numId w:val="2"/>
        </w:numPr>
        <w:spacing w:before="120" w:after="120" w:line="276" w:lineRule="auto"/>
        <w:rPr>
          <w:rFonts w:ascii="Century Gothic" w:eastAsia="Arial" w:hAnsi="Century Gothic" w:cs="Arial"/>
          <w:b/>
          <w:sz w:val="22"/>
          <w:szCs w:val="22"/>
        </w:rPr>
      </w:pPr>
      <w:r w:rsidRPr="00F315B1">
        <w:rPr>
          <w:rFonts w:ascii="Century Gothic" w:eastAsia="Arial" w:hAnsi="Century Gothic" w:cs="Arial"/>
          <w:sz w:val="22"/>
          <w:szCs w:val="22"/>
        </w:rPr>
        <w:t>Risk assessments are monitored and reviewed by those responsible for health and safety.</w:t>
      </w:r>
    </w:p>
    <w:p w14:paraId="00000011" w14:textId="77777777" w:rsidR="002C1103" w:rsidRPr="00F315B1" w:rsidRDefault="005D37CF" w:rsidP="00F315B1">
      <w:pPr>
        <w:pStyle w:val="Heading6"/>
        <w:spacing w:before="120" w:after="120" w:line="276" w:lineRule="auto"/>
        <w:rPr>
          <w:rFonts w:ascii="Century Gothic" w:eastAsia="Arial" w:hAnsi="Century Gothic" w:cs="Arial"/>
          <w:b/>
          <w:i w:val="0"/>
          <w:color w:val="000000"/>
          <w:sz w:val="22"/>
          <w:szCs w:val="22"/>
        </w:rPr>
      </w:pPr>
      <w:r w:rsidRPr="00F315B1">
        <w:rPr>
          <w:rFonts w:ascii="Century Gothic" w:eastAsia="Arial" w:hAnsi="Century Gothic" w:cs="Arial"/>
          <w:b/>
          <w:i w:val="0"/>
          <w:color w:val="000000"/>
          <w:sz w:val="22"/>
          <w:szCs w:val="22"/>
        </w:rPr>
        <w:t>Legal references</w:t>
      </w:r>
    </w:p>
    <w:p w14:paraId="00000012"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Health and Safety at Work etc Act 1974</w:t>
      </w:r>
    </w:p>
    <w:p w14:paraId="00000013"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lastRenderedPageBreak/>
        <w:t>Health and Safety (Consultation with Employees) Regulations 1996</w:t>
      </w:r>
    </w:p>
    <w:p w14:paraId="00000014"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Management of Health and Safety at Work Regulations (1999)</w:t>
      </w:r>
    </w:p>
    <w:p w14:paraId="00000015"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Regulatory Reform (Fire Safety) Order 2005)</w:t>
      </w:r>
    </w:p>
    <w:p w14:paraId="00000016"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Electricity at Work Regulations (1989)</w:t>
      </w:r>
    </w:p>
    <w:p w14:paraId="00000017"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Regulation (EC) No 852/2004 of the European Parliament and of the Council on the hygiene of foodstuffs</w:t>
      </w:r>
    </w:p>
    <w:p w14:paraId="00000018"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Manual Handling Operations Regulations (1992) (Amended 2002)</w:t>
      </w:r>
    </w:p>
    <w:p w14:paraId="00000019"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Medicines Act (1968)</w:t>
      </w:r>
    </w:p>
    <w:p w14:paraId="0000001A"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Reporting of Injuries, Diseases and Dangerous Occurrences Regulations (RIDDOR) (Amendment) Regulations 2012</w:t>
      </w:r>
    </w:p>
    <w:p w14:paraId="0000001B"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Control of Substances Hazardous to Health (COSHH) Regulations 2004</w:t>
      </w:r>
    </w:p>
    <w:p w14:paraId="0000001C"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Health and Safety (First Aid) Regulations 1981</w:t>
      </w:r>
    </w:p>
    <w:p w14:paraId="0000001D"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Childcare Act 2006</w:t>
      </w:r>
    </w:p>
    <w:p w14:paraId="0000001E" w14:textId="77777777" w:rsidR="002C1103" w:rsidRPr="00F315B1" w:rsidRDefault="005D37CF" w:rsidP="00F315B1">
      <w:pPr>
        <w:spacing w:before="120" w:after="120" w:line="276" w:lineRule="auto"/>
        <w:rPr>
          <w:rFonts w:ascii="Century Gothic" w:eastAsia="Arial" w:hAnsi="Century Gothic" w:cs="Arial"/>
          <w:b/>
          <w:sz w:val="22"/>
          <w:szCs w:val="22"/>
        </w:rPr>
      </w:pPr>
      <w:r w:rsidRPr="00F315B1">
        <w:rPr>
          <w:rFonts w:ascii="Century Gothic" w:eastAsia="Arial" w:hAnsi="Century Gothic" w:cs="Arial"/>
          <w:b/>
          <w:sz w:val="22"/>
          <w:szCs w:val="22"/>
        </w:rPr>
        <w:t>Further guidance</w:t>
      </w:r>
    </w:p>
    <w:p w14:paraId="0000001F"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Dynamic Risk Management in the Early Years (Alliance 2017)</w:t>
      </w:r>
    </w:p>
    <w:p w14:paraId="00000020"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 xml:space="preserve">Health and Safety Executive </w:t>
      </w:r>
      <w:r w:rsidRPr="00F315B1">
        <w:rPr>
          <w:rFonts w:ascii="Century Gothic" w:eastAsia="Arial" w:hAnsi="Century Gothic" w:cs="Arial"/>
          <w:color w:val="0000FF"/>
          <w:sz w:val="22"/>
          <w:szCs w:val="22"/>
          <w:u w:val="single"/>
        </w:rPr>
        <w:t>www.hse.gov.uk/risk</w:t>
      </w:r>
    </w:p>
    <w:p w14:paraId="00000021" w14:textId="77777777" w:rsidR="002C1103"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 xml:space="preserve">Food Standards Agency </w:t>
      </w:r>
      <w:hyperlink r:id="rId8">
        <w:r w:rsidRPr="00F315B1">
          <w:rPr>
            <w:rFonts w:ascii="Century Gothic" w:eastAsia="Arial" w:hAnsi="Century Gothic" w:cs="Arial"/>
            <w:color w:val="0000FF"/>
            <w:sz w:val="22"/>
            <w:szCs w:val="22"/>
            <w:u w:val="single"/>
          </w:rPr>
          <w:t>www.food.gov.uk</w:t>
        </w:r>
      </w:hyperlink>
      <w:r w:rsidRPr="00F315B1">
        <w:rPr>
          <w:rFonts w:ascii="Century Gothic" w:eastAsia="Arial" w:hAnsi="Century Gothic" w:cs="Arial"/>
          <w:sz w:val="22"/>
          <w:szCs w:val="22"/>
        </w:rPr>
        <w:t xml:space="preserve"> </w:t>
      </w:r>
    </w:p>
    <w:p w14:paraId="00000022" w14:textId="77777777" w:rsidR="002C1103" w:rsidRPr="00F315B1" w:rsidRDefault="005D37CF" w:rsidP="00F315B1">
      <w:pPr>
        <w:spacing w:before="120" w:after="120" w:line="276" w:lineRule="auto"/>
        <w:rPr>
          <w:rFonts w:ascii="Century Gothic" w:eastAsia="Arial" w:hAnsi="Century Gothic" w:cs="Arial"/>
          <w:color w:val="0000FF"/>
          <w:sz w:val="22"/>
          <w:szCs w:val="22"/>
          <w:u w:val="single"/>
        </w:rPr>
      </w:pPr>
      <w:r w:rsidRPr="00F315B1">
        <w:rPr>
          <w:rFonts w:ascii="Century Gothic" w:eastAsia="Arial" w:hAnsi="Century Gothic" w:cs="Arial"/>
          <w:sz w:val="22"/>
          <w:szCs w:val="22"/>
        </w:rPr>
        <w:t xml:space="preserve">Ministry or Housing, Communities &amp; Local Government </w:t>
      </w:r>
      <w:hyperlink r:id="rId9">
        <w:r w:rsidRPr="00F315B1">
          <w:rPr>
            <w:rFonts w:ascii="Century Gothic" w:eastAsia="Arial" w:hAnsi="Century Gothic" w:cs="Arial"/>
            <w:color w:val="0000FF"/>
            <w:sz w:val="22"/>
            <w:szCs w:val="22"/>
            <w:u w:val="single"/>
          </w:rPr>
          <w:t>www.communities.gov.uk</w:t>
        </w:r>
      </w:hyperlink>
    </w:p>
    <w:tbl>
      <w:tblPr>
        <w:tblStyle w:val="TableGrid"/>
        <w:tblW w:w="0" w:type="auto"/>
        <w:tblLook w:val="04A0" w:firstRow="1" w:lastRow="0" w:firstColumn="1" w:lastColumn="0" w:noHBand="0" w:noVBand="1"/>
      </w:tblPr>
      <w:tblGrid>
        <w:gridCol w:w="2614"/>
        <w:gridCol w:w="2614"/>
        <w:gridCol w:w="2614"/>
        <w:gridCol w:w="2614"/>
      </w:tblGrid>
      <w:tr w:rsidR="005D37CF" w:rsidRPr="00F315B1" w14:paraId="1B46AE39" w14:textId="77777777" w:rsidTr="005D37CF">
        <w:tc>
          <w:tcPr>
            <w:tcW w:w="2614" w:type="dxa"/>
          </w:tcPr>
          <w:p w14:paraId="3EE0ABE9" w14:textId="210C969B"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Date reviewed</w:t>
            </w:r>
          </w:p>
        </w:tc>
        <w:tc>
          <w:tcPr>
            <w:tcW w:w="2614" w:type="dxa"/>
          </w:tcPr>
          <w:p w14:paraId="4C2FDE03" w14:textId="2AA5F832"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Who by</w:t>
            </w:r>
          </w:p>
        </w:tc>
        <w:tc>
          <w:tcPr>
            <w:tcW w:w="2614" w:type="dxa"/>
          </w:tcPr>
          <w:p w14:paraId="63650728" w14:textId="116F29B2"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Date reviewed</w:t>
            </w:r>
          </w:p>
        </w:tc>
        <w:tc>
          <w:tcPr>
            <w:tcW w:w="2614" w:type="dxa"/>
          </w:tcPr>
          <w:p w14:paraId="35D08337" w14:textId="415D9BEC"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Who by</w:t>
            </w:r>
          </w:p>
        </w:tc>
      </w:tr>
      <w:tr w:rsidR="005D37CF" w:rsidRPr="00F315B1" w14:paraId="69C98447" w14:textId="77777777" w:rsidTr="005D37CF">
        <w:tc>
          <w:tcPr>
            <w:tcW w:w="2614" w:type="dxa"/>
          </w:tcPr>
          <w:p w14:paraId="023FFB02" w14:textId="0EA8B0E8"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16/11/2023</w:t>
            </w:r>
          </w:p>
        </w:tc>
        <w:tc>
          <w:tcPr>
            <w:tcW w:w="2614" w:type="dxa"/>
          </w:tcPr>
          <w:p w14:paraId="6B8D3CB0" w14:textId="72105DD1" w:rsidR="005D37CF" w:rsidRPr="00F315B1" w:rsidRDefault="005D37CF" w:rsidP="00F315B1">
            <w:pPr>
              <w:spacing w:before="120" w:after="120" w:line="276" w:lineRule="auto"/>
              <w:rPr>
                <w:rFonts w:ascii="Century Gothic" w:eastAsia="Arial" w:hAnsi="Century Gothic" w:cs="Arial"/>
                <w:sz w:val="22"/>
                <w:szCs w:val="22"/>
              </w:rPr>
            </w:pPr>
            <w:r w:rsidRPr="00F315B1">
              <w:rPr>
                <w:rFonts w:ascii="Century Gothic" w:eastAsia="Arial" w:hAnsi="Century Gothic" w:cs="Arial"/>
                <w:sz w:val="22"/>
                <w:szCs w:val="22"/>
              </w:rPr>
              <w:t>Tracey Morton</w:t>
            </w:r>
          </w:p>
        </w:tc>
        <w:tc>
          <w:tcPr>
            <w:tcW w:w="2614" w:type="dxa"/>
          </w:tcPr>
          <w:p w14:paraId="245E184A"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48D68C19" w14:textId="77777777" w:rsidR="005D37CF" w:rsidRPr="00F315B1" w:rsidRDefault="005D37CF" w:rsidP="00F315B1">
            <w:pPr>
              <w:spacing w:before="120" w:after="120" w:line="276" w:lineRule="auto"/>
              <w:rPr>
                <w:rFonts w:ascii="Century Gothic" w:eastAsia="Arial" w:hAnsi="Century Gothic" w:cs="Arial"/>
                <w:sz w:val="22"/>
                <w:szCs w:val="22"/>
              </w:rPr>
            </w:pPr>
          </w:p>
        </w:tc>
      </w:tr>
      <w:tr w:rsidR="005D37CF" w:rsidRPr="00F315B1" w14:paraId="7992EB16" w14:textId="77777777" w:rsidTr="005D37CF">
        <w:tc>
          <w:tcPr>
            <w:tcW w:w="2614" w:type="dxa"/>
          </w:tcPr>
          <w:p w14:paraId="72E498E4"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46CA61C2"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5D151DED"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0E29EDC2" w14:textId="77777777" w:rsidR="005D37CF" w:rsidRPr="00F315B1" w:rsidRDefault="005D37CF" w:rsidP="00F315B1">
            <w:pPr>
              <w:spacing w:before="120" w:after="120" w:line="276" w:lineRule="auto"/>
              <w:rPr>
                <w:rFonts w:ascii="Century Gothic" w:eastAsia="Arial" w:hAnsi="Century Gothic" w:cs="Arial"/>
                <w:sz w:val="22"/>
                <w:szCs w:val="22"/>
              </w:rPr>
            </w:pPr>
          </w:p>
        </w:tc>
      </w:tr>
      <w:tr w:rsidR="005D37CF" w:rsidRPr="00F315B1" w14:paraId="149DE3BE" w14:textId="77777777" w:rsidTr="005D37CF">
        <w:tc>
          <w:tcPr>
            <w:tcW w:w="2614" w:type="dxa"/>
          </w:tcPr>
          <w:p w14:paraId="1451B35D"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1D5AC0BE"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3DA0F737" w14:textId="77777777" w:rsidR="005D37CF" w:rsidRPr="00F315B1" w:rsidRDefault="005D37CF" w:rsidP="00F315B1">
            <w:pPr>
              <w:spacing w:before="120" w:after="120" w:line="276" w:lineRule="auto"/>
              <w:rPr>
                <w:rFonts w:ascii="Century Gothic" w:eastAsia="Arial" w:hAnsi="Century Gothic" w:cs="Arial"/>
                <w:sz w:val="22"/>
                <w:szCs w:val="22"/>
              </w:rPr>
            </w:pPr>
          </w:p>
        </w:tc>
        <w:tc>
          <w:tcPr>
            <w:tcW w:w="2614" w:type="dxa"/>
          </w:tcPr>
          <w:p w14:paraId="6338C9AD" w14:textId="77777777" w:rsidR="005D37CF" w:rsidRPr="00F315B1" w:rsidRDefault="005D37CF" w:rsidP="00F315B1">
            <w:pPr>
              <w:spacing w:before="120" w:after="120" w:line="276" w:lineRule="auto"/>
              <w:rPr>
                <w:rFonts w:ascii="Century Gothic" w:eastAsia="Arial" w:hAnsi="Century Gothic" w:cs="Arial"/>
                <w:sz w:val="22"/>
                <w:szCs w:val="22"/>
              </w:rPr>
            </w:pPr>
          </w:p>
        </w:tc>
      </w:tr>
    </w:tbl>
    <w:p w14:paraId="299AA5D0" w14:textId="77777777" w:rsidR="005D37CF" w:rsidRPr="00F315B1" w:rsidRDefault="005D37CF" w:rsidP="00F315B1">
      <w:pPr>
        <w:spacing w:before="120" w:after="120" w:line="276" w:lineRule="auto"/>
        <w:rPr>
          <w:rFonts w:ascii="Century Gothic" w:eastAsia="Arial" w:hAnsi="Century Gothic" w:cs="Arial"/>
          <w:sz w:val="22"/>
          <w:szCs w:val="22"/>
        </w:rPr>
      </w:pPr>
    </w:p>
    <w:sectPr w:rsidR="005D37CF" w:rsidRPr="00F315B1" w:rsidSect="00F315B1">
      <w:footerReference w:type="default" r:id="rId10"/>
      <w:headerReference w:type="first" r:id="rId11"/>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6B93" w14:textId="77777777" w:rsidR="005D37CF" w:rsidRDefault="005D37CF">
      <w:r>
        <w:separator/>
      </w:r>
    </w:p>
  </w:endnote>
  <w:endnote w:type="continuationSeparator" w:id="0">
    <w:p w14:paraId="170A7E8C" w14:textId="77777777" w:rsidR="005D37CF" w:rsidRDefault="005D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2C1103" w:rsidRDefault="005D37CF">
    <w:pPr>
      <w:pBdr>
        <w:top w:val="nil"/>
        <w:left w:val="nil"/>
        <w:bottom w:val="nil"/>
        <w:right w:val="nil"/>
        <w:between w:val="nil"/>
      </w:pBdr>
      <w:tabs>
        <w:tab w:val="center" w:pos="4513"/>
        <w:tab w:val="right" w:pos="9026"/>
      </w:tabs>
      <w:rPr>
        <w:rFonts w:ascii="Arial" w:eastAsia="Arial" w:hAnsi="Arial" w:cs="Arial"/>
        <w:color w:val="000000"/>
        <w:sz w:val="22"/>
        <w:szCs w:val="22"/>
      </w:rPr>
    </w:pPr>
    <w:r>
      <w:rPr>
        <w:rFonts w:ascii="Arial" w:eastAsia="Arial" w:hAnsi="Arial" w:cs="Arial"/>
        <w:i/>
        <w:color w:val="000000"/>
        <w:sz w:val="22"/>
        <w:szCs w:val="22"/>
      </w:rPr>
      <w:t>Policies &amp; Procedures for the EYFS 2021</w:t>
    </w:r>
    <w:r>
      <w:rPr>
        <w:rFonts w:ascii="Arial" w:eastAsia="Arial" w:hAnsi="Arial" w:cs="Arial"/>
        <w:color w:val="000000"/>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7EBC" w14:textId="77777777" w:rsidR="005D37CF" w:rsidRDefault="005D37CF">
      <w:r>
        <w:separator/>
      </w:r>
    </w:p>
  </w:footnote>
  <w:footnote w:type="continuationSeparator" w:id="0">
    <w:p w14:paraId="11F79981" w14:textId="77777777" w:rsidR="005D37CF" w:rsidRDefault="005D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111F" w14:textId="67AE9367" w:rsidR="00F315B1" w:rsidRDefault="00F315B1">
    <w:pPr>
      <w:pStyle w:val="Header"/>
    </w:pPr>
    <w:r w:rsidRPr="00F315B1">
      <w:drawing>
        <wp:inline distT="0" distB="0" distL="0" distR="0" wp14:anchorId="0E22FA30" wp14:editId="42861A62">
          <wp:extent cx="6645910" cy="1148715"/>
          <wp:effectExtent l="0" t="0" r="2540" b="0"/>
          <wp:docPr id="1440841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5866"/>
    <w:multiLevelType w:val="multilevel"/>
    <w:tmpl w:val="0E7E7C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182E22"/>
    <w:multiLevelType w:val="multilevel"/>
    <w:tmpl w:val="0F965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86468205">
    <w:abstractNumId w:val="1"/>
  </w:num>
  <w:num w:numId="2" w16cid:durableId="78743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03"/>
    <w:rsid w:val="002C1103"/>
    <w:rsid w:val="005D37CF"/>
    <w:rsid w:val="00F31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BD2ED5"/>
  <w15:docId w15:val="{27A0BD4E-99AE-4540-9DF7-F8EF4315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lang w:eastAsia="en-US"/>
    </w:rPr>
  </w:style>
  <w:style w:type="paragraph" w:styleId="Heading1">
    <w:name w:val="heading 1"/>
    <w:basedOn w:val="Normal"/>
    <w:next w:val="Normal"/>
    <w:link w:val="Heading1Char"/>
    <w:uiPriority w:val="9"/>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D08F3"/>
    <w:pPr>
      <w:keepNext/>
      <w:keepLines/>
      <w:spacing w:before="200"/>
      <w:outlineLvl w:val="3"/>
    </w:pPr>
    <w:rPr>
      <w:rFonts w:ascii="Cambria" w:hAnsi="Cambria"/>
      <w:b/>
      <w:bCs/>
      <w:i/>
      <w:iCs/>
      <w:color w:val="4F81BD"/>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DdUXGVIzx5I6RQ9rYAlBRkNCg==">AMUW2mVmlDYS5xgO0sFWpxVJabilzU7b8QhU52hPn1JKkVTHdSmurj3AzesgivucJC/MjjdMk6TXp2uROodQkeCYn4TOVqKo2LV873wcm7QMwlgZ9FHGgek=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Matlock Preschool</cp:lastModifiedBy>
  <cp:revision>3</cp:revision>
  <dcterms:created xsi:type="dcterms:W3CDTF">2022-03-04T15:12:00Z</dcterms:created>
  <dcterms:modified xsi:type="dcterms:W3CDTF">2024-01-03T20:34:00Z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